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附件3：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  <w:t>关于印发公安机关录用人民警察体能测评项目和标准（暂行）的通知</w:t>
      </w:r>
    </w:p>
    <w:p>
      <w:pPr>
        <w:spacing w:line="700" w:lineRule="exact"/>
        <w:jc w:val="center"/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bCs/>
          <w:sz w:val="32"/>
          <w:szCs w:val="32"/>
          <w:shd w:val="clear" w:color="auto" w:fill="FFFFFF"/>
        </w:rPr>
        <w:t>人社部发【2011】48号</w:t>
      </w:r>
    </w:p>
    <w:bookmarkEnd w:id="0"/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各省、自治区、直辖市人力资源和社会保障厅（局）、公务员局、公安厅（局），新疆生产建设兵团人事局、公安局：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2001年7月，原人事部、公安部印发的《公安机关录用人民警察体能测评项目和标准》（人发【2001】74号）施行以来，对选拔高素质的公安民警，提高公安队伍战斗力起到了重要促进作用。为适应新形势下公安工作和公安队伍建设的实际需要，使公安机关招警体能测评更具有针对性和可操作性，在广泛征求意见的基础上，人力资源社会保障部、公安部、国家公务员局研究制定了《公安机关录用人民警察体能测评项目和标准（暂行）》，现印发给你们，请遵照执行。执行过程中，凡其中一项不达标的，视为体能测评不合格。2001年原人事部、公安部下发的《公安机关录用人民警察体能测评项目和标准》同时废止。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附件：1.公安机关录用人民警察体能测评项目和标准（暂行）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     2.公安机关录用人民警察体能测评实施规则</w:t>
      </w:r>
    </w:p>
    <w:p>
      <w:pPr>
        <w:ind w:firstLine="640" w:firstLineChars="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 xml:space="preserve"> </w:t>
      </w:r>
    </w:p>
    <w:p>
      <w:pPr>
        <w:ind w:firstLine="5760" w:firstLineChars="18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人力资源和社会保障部</w:t>
      </w:r>
    </w:p>
    <w:p>
      <w:pPr>
        <w:ind w:firstLine="8000" w:firstLineChars="25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公安部</w:t>
      </w:r>
    </w:p>
    <w:p>
      <w:pPr>
        <w:ind w:firstLine="7040" w:firstLineChars="22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国家公务员局</w:t>
      </w:r>
    </w:p>
    <w:p>
      <w:pPr>
        <w:ind w:firstLine="5440" w:firstLineChars="1700"/>
        <w:jc w:val="left"/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shd w:val="clear" w:color="auto" w:fill="FFFFFF"/>
        </w:rPr>
        <w:t>二〇一一年四月二十一日</w:t>
      </w:r>
    </w:p>
    <w:tbl>
      <w:tblPr>
        <w:tblStyle w:val="3"/>
        <w:tblW w:w="864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8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648" w:type="dxa"/>
            <w:shd w:val="solid" w:color="FFFFFF" w:fill="auto"/>
            <w:vAlign w:val="top"/>
          </w:tcPr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</w:p>
          <w:p>
            <w:pPr>
              <w:jc w:val="left"/>
              <w:rPr>
                <w:rFonts w:hint="eastAsia" w:ascii="宋体" w:hAnsi="宋体"/>
                <w:sz w:val="32"/>
                <w:szCs w:val="32"/>
              </w:rPr>
            </w:pPr>
            <w:r>
              <w:rPr>
                <w:rFonts w:hint="eastAsia" w:ascii="宋体" w:hAnsi="宋体"/>
                <w:sz w:val="32"/>
                <w:szCs w:val="32"/>
              </w:rPr>
              <w:t>附件1：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rFonts w:hint="eastAsia" w:ascii="黑体" w:hAnsi="黑体" w:eastAsia="黑体"/>
                <w:color w:val="3F3F3F"/>
                <w:kern w:val="0"/>
                <w:sz w:val="36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60" w:lineRule="exact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3F3F3F"/>
                <w:kern w:val="0"/>
                <w:sz w:val="36"/>
                <w:shd w:val="clear" w:color="auto" w:fill="FFFFFF"/>
              </w:rPr>
              <w:t>公安机关录用人民警察体能测评项目和标准（暂行</w:t>
            </w:r>
            <w:r>
              <w:rPr>
                <w:rFonts w:ascii="宋体" w:hAnsi="宋体"/>
                <w:color w:val="3F3F3F"/>
                <w:kern w:val="0"/>
                <w:sz w:val="36"/>
                <w:shd w:val="clear" w:color="auto" w:fill="FFFFFF"/>
              </w:rPr>
              <w:t>）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黑体" w:hAnsi="黑体" w:eastAsia="黑体"/>
                <w:color w:val="3F3F3F"/>
                <w:kern w:val="0"/>
                <w:sz w:val="24"/>
                <w:shd w:val="clear" w:color="auto" w:fill="FFFFFF"/>
              </w:rPr>
              <w:t>（一）男子组</w:t>
            </w:r>
          </w:p>
          <w:tbl>
            <w:tblPr>
              <w:tblStyle w:val="3"/>
              <w:tblW w:w="864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453"/>
              <w:gridCol w:w="1592"/>
              <w:gridCol w:w="5603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3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11430</wp:posOffset>
                            </wp:positionV>
                            <wp:extent cx="0" cy="2514600"/>
                            <wp:effectExtent l="4445" t="0" r="14605" b="0"/>
                            <wp:wrapNone/>
                            <wp:docPr id="2" name="直接箭头连接符 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251460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423.25pt;margin-top:0.9pt;height:198pt;width:0pt;z-index:251658240;mso-width-relative:page;mso-height-relative:page;" o:connectortype="straight" filled="f" coordsize="21600,21600" o:gfxdata="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">
                            <v:path arrowok="t"/>
                            <v:fill on="f" focussize="0,0"/>
                            <v:stroke/>
                            <v:imagedata o:title=""/>
                            <o:lock v:ext="edit"/>
                          </v:shape>
                        </w:pict>
                      </mc:Fallback>
                    </mc:AlternateConten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项目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标准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3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/>
              </w:tc>
              <w:tc>
                <w:tcPr>
                  <w:tcW w:w="15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30岁（含）以下</w:t>
                  </w:r>
                </w:p>
              </w:tc>
              <w:tc>
                <w:tcPr>
                  <w:tcW w:w="56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31岁（含）以上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10米×4往返跑</w:t>
                  </w:r>
                </w:p>
              </w:tc>
              <w:tc>
                <w:tcPr>
                  <w:tcW w:w="15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56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13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1000米跑</w:t>
                  </w:r>
                </w:p>
              </w:tc>
              <w:tc>
                <w:tcPr>
                  <w:tcW w:w="1592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25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560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35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1453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7195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≥265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280" w:firstLineChars="1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黑体" w:hAnsi="黑体" w:eastAsia="黑体"/>
                <w:color w:val="3F3F3F"/>
                <w:kern w:val="0"/>
                <w:sz w:val="28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240" w:firstLineChars="1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黑体" w:hAnsi="黑体" w:eastAsia="黑体"/>
                <w:color w:val="3F3F3F"/>
                <w:kern w:val="0"/>
                <w:sz w:val="24"/>
                <w:shd w:val="clear" w:color="auto" w:fill="FFFFFF"/>
              </w:rPr>
              <w:t>（二）女子组</w:t>
            </w:r>
          </w:p>
          <w:tbl>
            <w:tblPr>
              <w:tblStyle w:val="3"/>
              <w:tblW w:w="8648" w:type="dxa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2840"/>
              <w:gridCol w:w="2841"/>
              <w:gridCol w:w="2967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vMerge w:val="restart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5375275</wp:posOffset>
                            </wp:positionH>
                            <wp:positionV relativeFrom="paragraph">
                              <wp:posOffset>-12700</wp:posOffset>
                            </wp:positionV>
                            <wp:extent cx="0" cy="1809750"/>
                            <wp:effectExtent l="4445" t="0" r="14605" b="0"/>
                            <wp:wrapNone/>
                            <wp:docPr id="1" name="直接箭头连接符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0" cy="1809750"/>
                                    </a:xfrm>
                                    <a:prstGeom prst="straightConnector1">
                                      <a:avLst/>
                                    </a:prstGeom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headEnd type="none" w="med" len="med"/>
                                      <a:tailEnd type="none" w="med" len="med"/>
                                    </a:ln>
                                  </wps:spPr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_x0000_s1026" o:spid="_x0000_s1026" o:spt="32" type="#_x0000_t32" style="position:absolute;left:0pt;margin-left:423.25pt;margin-top:-1pt;height:142.5pt;width:0pt;z-index:251659264;mso-width-relative:page;mso-height-relative:page;" o:connectortype="straight" filled="f" coordsize="21600,21600" o:gfxdata="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pze4ztkAAAAK&#10;AQAADwAAAAAAAAABACAAAAAiAAAAZHJzL2Rvd25yZXYueG1sUEsBAhQAFAAAAAgAh07iQIxcaeTi&#10;AQAAngMAAA4AAAAAAAAAAQAgAAAAKAEAAGRycy9lMm9Eb2MueG1sUEsFBgAAAAAGAAYAWQEAAHwF&#10;AAAAAA==&#10;">
                            <v:path arrowok="t"/>
                            <v:fill on="f" focussize="0,0"/>
                            <v:stroke/>
                            <v:imagedata o:title=""/>
                            <o:lock v:ext="edit"/>
                          </v:shape>
                        </w:pict>
                      </mc:Fallback>
                    </mc:AlternateConten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项 目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标 准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vMerge w:val="continue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/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30岁（含）以下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31岁（含）以上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10米X4往返跑</w:t>
                  </w:r>
                </w:p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14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800米跑</w:t>
                  </w:r>
                </w:p>
              </w:tc>
              <w:tc>
                <w:tcPr>
                  <w:tcW w:w="284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20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  <w:tc>
                <w:tcPr>
                  <w:tcW w:w="2967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≤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4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′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30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8"/>
                    </w:rPr>
                    <w:t>″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c>
                <w:tcPr>
                  <w:tcW w:w="284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纵跳摸高</w:t>
                  </w:r>
                </w:p>
              </w:tc>
              <w:tc>
                <w:tcPr>
                  <w:tcW w:w="5808" w:type="dxa"/>
                  <w:gridSpan w:val="2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top"/>
                </w:tcPr>
                <w:p>
                  <w:pPr>
                    <w:widowControl/>
                    <w:autoSpaceDN w:val="0"/>
                    <w:spacing w:line="560" w:lineRule="exact"/>
                    <w:jc w:val="center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8"/>
                    </w:rPr>
                    <w:t>≥230</w:t>
                  </w:r>
                  <w:r>
                    <w:rPr>
                      <w:rFonts w:ascii="黑体" w:hAnsi="黑体" w:eastAsia="黑体"/>
                      <w:color w:val="3F3F3F"/>
                      <w:kern w:val="0"/>
                      <w:sz w:val="28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60" w:lineRule="exact"/>
              <w:ind w:firstLine="63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rFonts w:hint="eastAsia" w:ascii="宋体" w:hAnsi="宋体"/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rFonts w:hint="eastAsia" w:ascii="宋体" w:hAnsi="宋体"/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</w:pP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附件2：</w:t>
            </w: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3F3F3F"/>
                <w:kern w:val="0"/>
                <w:sz w:val="4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b/>
                <w:color w:val="3F3F3F"/>
                <w:kern w:val="0"/>
                <w:sz w:val="44"/>
                <w:shd w:val="clear" w:color="auto" w:fill="FFFFFF"/>
              </w:rPr>
              <w:t>公安机关录用人民警察体能测评实施规则</w:t>
            </w:r>
          </w:p>
          <w:p>
            <w:pPr>
              <w:widowControl/>
              <w:shd w:val="solid" w:color="FFFFFF" w:fill="auto"/>
              <w:autoSpaceDN w:val="0"/>
              <w:spacing w:line="580" w:lineRule="atLeast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仿宋_GB2312" w:hAnsi="仿宋_GB2312" w:eastAsia="仿宋_GB2312"/>
                <w:color w:val="3F3F3F"/>
                <w:kern w:val="0"/>
                <w:sz w:val="24"/>
                <w:shd w:val="clear" w:color="auto" w:fill="FFFFFF"/>
              </w:rPr>
              <w:t xml:space="preserve"> 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一、10米×4往返跑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场地器材：10米长的直线跑道若干，在跑道的两端线（S1和S2）外30厘米处各划一条线（图1）。木块（5厘米×10厘米）每道3块，其中2块放在S2线外的横线上，一块放在S1线外的横线上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测试方法：受测试者用站立式起跑，听到发令后从S1线外起跑，当跑到S2线前面，用一只手拿起一木块随即往回跑，跑到S1线前时交换木块，再跑回S2交换另一木块，最后持木块冲出S1线，记录跑完全程的时间。记录以秒为单位，取一位小数，第二位小数非“0”时则进1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注意事项：当受测者取放木块时，脚不要越过S1和S2线。</w:t>
            </w:r>
            <w:r>
              <w:rPr>
                <w:sz w:val="18"/>
                <w:shd w:val="clear" w:color="auto" w:fill="FFFFFF"/>
              </w:rPr>
              <w:t xml:space="preserve"> </w:t>
            </w:r>
          </w:p>
          <w:tbl>
            <w:tblPr>
              <w:tblStyle w:val="3"/>
              <w:tblW w:w="4216" w:type="dxa"/>
              <w:jc w:val="center"/>
              <w:tblInd w:w="0" w:type="dxa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1080"/>
              <w:gridCol w:w="2140"/>
              <w:gridCol w:w="996"/>
            </w:tblGrid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center"/>
                    <w:rPr>
                      <w:sz w:val="18"/>
                    </w:rPr>
                  </w:pPr>
                  <w:r>
                    <w:rPr>
                      <w:rFonts w:ascii="宋体" w:hAnsi="宋体"/>
                      <w:color w:val="3F3F3F"/>
                      <w:kern w:val="0"/>
                      <w:sz w:val="24"/>
                    </w:rPr>
                    <w:t>S1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宋体" w:hAnsi="宋体"/>
                      <w:color w:val="3F3F3F"/>
                      <w:kern w:val="0"/>
                      <w:sz w:val="24"/>
                    </w:rPr>
                    <w:t xml:space="preserve">  S2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200" w:lineRule="exac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←→</w:t>
                  </w:r>
                </w:p>
              </w:tc>
            </w:tr>
            <w:tr>
              <w:tblPrEx>
                <w:tblLayout w:type="fixed"/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285" w:hRule="atLeast"/>
                <w:jc w:val="center"/>
              </w:trPr>
              <w:tc>
                <w:tcPr>
                  <w:tcW w:w="1080" w:type="dxa"/>
                  <w:tcBorders>
                    <w:lef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4"/>
                    </w:rPr>
                    <w:t>　</w:t>
                  </w:r>
                </w:p>
              </w:tc>
              <w:tc>
                <w:tcPr>
                  <w:tcW w:w="2140" w:type="dxa"/>
                  <w:tcBorders>
                    <w:left w:val="single" w:color="000000" w:sz="4" w:space="0"/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jc w:val="left"/>
                    <w:rPr>
                      <w:sz w:val="18"/>
                    </w:rPr>
                  </w:pP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0"/>
                    </w:rPr>
                    <w:t xml:space="preserve">    ←  10米 →</w:t>
                  </w:r>
                </w:p>
              </w:tc>
              <w:tc>
                <w:tcPr>
                  <w:tcW w:w="996" w:type="dxa"/>
                  <w:tcBorders>
                    <w:right w:val="single" w:color="000000" w:sz="4" w:space="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>
                  <w:pPr>
                    <w:widowControl/>
                    <w:autoSpaceDN w:val="0"/>
                    <w:spacing w:line="200" w:lineRule="exact"/>
                    <w:rPr>
                      <w:sz w:val="18"/>
                    </w:rPr>
                  </w:pPr>
                  <w:r>
                    <w:rPr>
                      <w:color w:val="3F3F3F"/>
                      <w:kern w:val="0"/>
                      <w:sz w:val="20"/>
                    </w:rPr>
                    <w:t>30</w:t>
                  </w:r>
                  <w:r>
                    <w:rPr>
                      <w:rFonts w:ascii="仿宋_GB2312" w:hAnsi="仿宋_GB2312" w:eastAsia="仿宋_GB2312"/>
                      <w:color w:val="3F3F3F"/>
                      <w:kern w:val="0"/>
                      <w:sz w:val="20"/>
                    </w:rPr>
                    <w:t>厘米</w:t>
                  </w:r>
                </w:p>
              </w:tc>
            </w:tr>
          </w:tbl>
          <w:p>
            <w:pPr>
              <w:widowControl/>
              <w:shd w:val="solid" w:color="FFFFFF" w:fill="auto"/>
              <w:autoSpaceDN w:val="0"/>
              <w:spacing w:line="580" w:lineRule="atLeast"/>
              <w:ind w:firstLine="480" w:firstLineChars="200"/>
              <w:jc w:val="center"/>
              <w:rPr>
                <w:sz w:val="18"/>
                <w:shd w:val="clear" w:color="auto" w:fill="FFFFFF"/>
              </w:rPr>
            </w:pPr>
            <w:r>
              <w:rPr>
                <w:rFonts w:ascii="黑体" w:hAnsi="黑体" w:eastAsia="黑体"/>
                <w:color w:val="3F3F3F"/>
                <w:kern w:val="0"/>
                <w:sz w:val="24"/>
                <w:shd w:val="clear" w:color="auto" w:fill="FFFFFF"/>
              </w:rPr>
              <w:t>图</w:t>
            </w:r>
            <w:r>
              <w:rPr>
                <w:color w:val="3F3F3F"/>
                <w:kern w:val="0"/>
                <w:sz w:val="24"/>
                <w:shd w:val="clear" w:color="auto" w:fill="FFFFFF"/>
              </w:rPr>
              <w:t>1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二、男子1000米跑、女子800米跑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场地器材：400米田径跑道。地面平坦，地质不限。秒表若干块，使用前应进行校正。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560" w:firstLineChars="20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测试方法：受测者分组测，每组不得少于2人，用站立式起跑。当听到口令或哨音后开始起跑。当受测者到达终点时停表，终点记录员负责登记每人成绩，登记成绩以分、秒为单位，不计小数。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6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三、纵跳摸高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6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场地要求：通常在室内场地测试。如选择室外场地测试，需在天气状况许可的情况下进行，当天平均气温应在15~35摄氏度之间，无太阳直射、风力不超过3级。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6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测试方法：准备测试阶段，受测者双脚自然分开，呈站立姿势。接到指令后，受测者屈腿半蹲，双臂尽力后摆，然后向前上方快速摆臂，双腿同时发力，尽力垂直向上起跳，同时单手举起触摸固定的高度线或者自动摸高器的测试条，触摸到高度线或者测试条的视为合格。测试不超过三次。</w:t>
            </w:r>
          </w:p>
          <w:p>
            <w:pPr>
              <w:widowControl/>
              <w:shd w:val="solid" w:color="FFFFFF" w:fill="auto"/>
              <w:autoSpaceDN w:val="0"/>
              <w:spacing w:line="560" w:lineRule="exact"/>
              <w:ind w:firstLine="660"/>
              <w:jc w:val="left"/>
              <w:rPr>
                <w:sz w:val="18"/>
                <w:shd w:val="clear" w:color="auto" w:fill="FFFFFF"/>
              </w:rPr>
            </w:pPr>
            <w:r>
              <w:rPr>
                <w:rFonts w:ascii="宋体" w:hAnsi="宋体"/>
                <w:color w:val="3F3F3F"/>
                <w:kern w:val="0"/>
                <w:sz w:val="28"/>
                <w:shd w:val="clear" w:color="auto" w:fill="FFFFFF"/>
              </w:rPr>
              <w:t>注意事项：（1）起跳时，受测者双腿不能移动或有垫步动作；（2）受测者指甲不得超过指尖0.3厘米；（3）受测者徒手触摸，不得带手套等其他物品；（4）受测者统一采用赤脚（可穿袜子）起跳，起跳处铺垫不超过2厘米的硬质无弹性垫子。</w:t>
            </w:r>
          </w:p>
        </w:tc>
      </w:tr>
    </w:tbl>
    <w:p/>
    <w:p/>
    <w:p/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B53AE5"/>
    <w:rsid w:val="3BB53AE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2018-08-15T08:12:00Z</dcterms:created>
  <dc:creator>Wendyli</dc:creator>
  <cp:lastModifiedBy>Wendyli</cp:lastModifiedBy>
  <dcterms:modified xsi:type="dcterms:W3CDTF">2018-08-15T08:13:51Z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